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C65D75">
        <w:rPr>
          <w:rFonts w:ascii="Times New Roman" w:hAnsi="Times New Roman"/>
          <w:b/>
          <w:color w:val="0070C0"/>
          <w:sz w:val="32"/>
          <w:szCs w:val="32"/>
        </w:rPr>
        <w:t>немецкому языку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C65D75">
        <w:rPr>
          <w:rFonts w:ascii="Times New Roman" w:hAnsi="Times New Roman"/>
          <w:b/>
          <w:color w:val="0070C0"/>
          <w:sz w:val="32"/>
          <w:szCs w:val="32"/>
        </w:rPr>
        <w:t>7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113EA7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C65D75">
        <w:rPr>
          <w:rFonts w:ascii="Times New Roman" w:hAnsi="Times New Roman" w:cs="Times New Roman"/>
          <w:sz w:val="28"/>
          <w:szCs w:val="24"/>
        </w:rPr>
        <w:t>30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65D75" w:rsidRPr="00312A2B" w:rsidTr="00C65D75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75" w:rsidRPr="00312A2B" w:rsidRDefault="00C65D75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75" w:rsidRPr="00C65D75" w:rsidRDefault="00C65D75" w:rsidP="00C6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75" w:rsidRPr="00C65D75" w:rsidRDefault="00C65D75" w:rsidP="00C6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75" w:rsidRPr="00C65D75" w:rsidRDefault="00C65D75" w:rsidP="00C6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75" w:rsidRPr="00C65D75" w:rsidRDefault="00C65D75" w:rsidP="00C6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75" w:rsidRPr="00C65D75" w:rsidRDefault="00C65D75" w:rsidP="00C6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</w:tr>
      <w:tr w:rsidR="00C65D75" w:rsidRPr="00312A2B" w:rsidTr="00C65D75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75" w:rsidRPr="00312A2B" w:rsidRDefault="00C65D75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75" w:rsidRPr="00C65D75" w:rsidRDefault="00C65D75" w:rsidP="00C6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75" w:rsidRPr="00C65D75" w:rsidRDefault="00C65D75" w:rsidP="00C6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75" w:rsidRPr="00C65D75" w:rsidRDefault="00C65D75" w:rsidP="00C6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75" w:rsidRPr="00C65D75" w:rsidRDefault="00C65D75" w:rsidP="00C6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D75" w:rsidRPr="00C65D75" w:rsidRDefault="00C65D75" w:rsidP="00C6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5,49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5D75" w:rsidRDefault="00C65D7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65D75" w:rsidRDefault="00C65D7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C65D75">
      <w:pPr>
        <w:ind w:left="-426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57900" cy="609600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13EA7"/>
    <w:rsid w:val="00155FEF"/>
    <w:rsid w:val="002900DF"/>
    <w:rsid w:val="002E262C"/>
    <w:rsid w:val="00312A2B"/>
    <w:rsid w:val="00484D96"/>
    <w:rsid w:val="00663CC5"/>
    <w:rsid w:val="006B51EB"/>
    <w:rsid w:val="00701293"/>
    <w:rsid w:val="0073149B"/>
    <w:rsid w:val="008A5134"/>
    <w:rsid w:val="008E5635"/>
    <w:rsid w:val="009A3EA2"/>
    <w:rsid w:val="009E3E45"/>
    <w:rsid w:val="00C65D75"/>
    <w:rsid w:val="00CB053B"/>
    <w:rsid w:val="00D34DD8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19</c:v>
                </c:pt>
                <c:pt idx="1">
                  <c:v>48.64</c:v>
                </c:pt>
                <c:pt idx="2">
                  <c:v>26.84</c:v>
                </c:pt>
                <c:pt idx="3">
                  <c:v>5.53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10.69</c:v>
                </c:pt>
                <c:pt idx="1">
                  <c:v>55.64</c:v>
                </c:pt>
                <c:pt idx="2">
                  <c:v>28.18</c:v>
                </c:pt>
                <c:pt idx="3">
                  <c:v>5.49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3129856"/>
        <c:axId val="46521088"/>
      </c:barChart>
      <c:catAx>
        <c:axId val="43129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6521088"/>
        <c:crosses val="autoZero"/>
        <c:auto val="1"/>
        <c:lblAlgn val="ctr"/>
        <c:lblOffset val="100"/>
        <c:noMultiLvlLbl val="0"/>
      </c:catAx>
      <c:valAx>
        <c:axId val="465210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129856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Лист1!$B$2:$B$32</c:f>
              <c:numCache>
                <c:formatCode>General</c:formatCode>
                <c:ptCount val="31"/>
                <c:pt idx="0">
                  <c:v>0.2</c:v>
                </c:pt>
                <c:pt idx="1">
                  <c:v>0.2</c:v>
                </c:pt>
                <c:pt idx="2">
                  <c:v>0.5</c:v>
                </c:pt>
                <c:pt idx="3">
                  <c:v>1</c:v>
                </c:pt>
                <c:pt idx="4">
                  <c:v>1.4</c:v>
                </c:pt>
                <c:pt idx="5">
                  <c:v>1.9</c:v>
                </c:pt>
                <c:pt idx="6">
                  <c:v>2.2999999999999998</c:v>
                </c:pt>
                <c:pt idx="7">
                  <c:v>2.2999999999999998</c:v>
                </c:pt>
                <c:pt idx="8">
                  <c:v>2.4</c:v>
                </c:pt>
                <c:pt idx="9">
                  <c:v>2.1</c:v>
                </c:pt>
                <c:pt idx="10">
                  <c:v>1.9</c:v>
                </c:pt>
                <c:pt idx="11">
                  <c:v>1.6</c:v>
                </c:pt>
                <c:pt idx="12">
                  <c:v>1.5</c:v>
                </c:pt>
                <c:pt idx="13">
                  <c:v>12.8</c:v>
                </c:pt>
                <c:pt idx="14">
                  <c:v>7.8</c:v>
                </c:pt>
                <c:pt idx="15">
                  <c:v>6.2</c:v>
                </c:pt>
                <c:pt idx="16">
                  <c:v>5.5</c:v>
                </c:pt>
                <c:pt idx="17">
                  <c:v>4.9000000000000004</c:v>
                </c:pt>
                <c:pt idx="18">
                  <c:v>4.4000000000000004</c:v>
                </c:pt>
                <c:pt idx="19">
                  <c:v>3.6</c:v>
                </c:pt>
                <c:pt idx="20">
                  <c:v>3.3</c:v>
                </c:pt>
                <c:pt idx="21">
                  <c:v>9.3000000000000007</c:v>
                </c:pt>
                <c:pt idx="22">
                  <c:v>5.6</c:v>
                </c:pt>
                <c:pt idx="23">
                  <c:v>4.2</c:v>
                </c:pt>
                <c:pt idx="24">
                  <c:v>3.2</c:v>
                </c:pt>
                <c:pt idx="25">
                  <c:v>2.6</c:v>
                </c:pt>
                <c:pt idx="26">
                  <c:v>1.8</c:v>
                </c:pt>
                <c:pt idx="27">
                  <c:v>2.9</c:v>
                </c:pt>
                <c:pt idx="28">
                  <c:v>1.6</c:v>
                </c:pt>
                <c:pt idx="29">
                  <c:v>0.7</c:v>
                </c:pt>
                <c:pt idx="30">
                  <c:v>0.3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Лист1!$C$2:$C$32</c:f>
              <c:numCache>
                <c:formatCode>General</c:formatCode>
                <c:ptCount val="31"/>
                <c:pt idx="0">
                  <c:v>0</c:v>
                </c:pt>
                <c:pt idx="1">
                  <c:v>0.1</c:v>
                </c:pt>
                <c:pt idx="2">
                  <c:v>0.3</c:v>
                </c:pt>
                <c:pt idx="3">
                  <c:v>1.3</c:v>
                </c:pt>
                <c:pt idx="4">
                  <c:v>0.3</c:v>
                </c:pt>
                <c:pt idx="5">
                  <c:v>0.7</c:v>
                </c:pt>
                <c:pt idx="6">
                  <c:v>1</c:v>
                </c:pt>
                <c:pt idx="7">
                  <c:v>1</c:v>
                </c:pt>
                <c:pt idx="8">
                  <c:v>1.2</c:v>
                </c:pt>
                <c:pt idx="9">
                  <c:v>1.7</c:v>
                </c:pt>
                <c:pt idx="10">
                  <c:v>1.3</c:v>
                </c:pt>
                <c:pt idx="11">
                  <c:v>1.2</c:v>
                </c:pt>
                <c:pt idx="12">
                  <c:v>0.6</c:v>
                </c:pt>
                <c:pt idx="13">
                  <c:v>11.8</c:v>
                </c:pt>
                <c:pt idx="14">
                  <c:v>12.1</c:v>
                </c:pt>
                <c:pt idx="15">
                  <c:v>5.9</c:v>
                </c:pt>
                <c:pt idx="16">
                  <c:v>5.8</c:v>
                </c:pt>
                <c:pt idx="17">
                  <c:v>4.9000000000000004</c:v>
                </c:pt>
                <c:pt idx="18">
                  <c:v>6.4</c:v>
                </c:pt>
                <c:pt idx="19">
                  <c:v>4.5999999999999996</c:v>
                </c:pt>
                <c:pt idx="20">
                  <c:v>4</c:v>
                </c:pt>
                <c:pt idx="21">
                  <c:v>9.4</c:v>
                </c:pt>
                <c:pt idx="22">
                  <c:v>5.0999999999999996</c:v>
                </c:pt>
                <c:pt idx="23">
                  <c:v>6.4</c:v>
                </c:pt>
                <c:pt idx="24">
                  <c:v>2.6</c:v>
                </c:pt>
                <c:pt idx="25">
                  <c:v>2.2000000000000002</c:v>
                </c:pt>
                <c:pt idx="26">
                  <c:v>2.6</c:v>
                </c:pt>
                <c:pt idx="27">
                  <c:v>3.6</c:v>
                </c:pt>
                <c:pt idx="28">
                  <c:v>1.4</c:v>
                </c:pt>
                <c:pt idx="29">
                  <c:v>0.3</c:v>
                </c:pt>
                <c:pt idx="30">
                  <c:v>0.1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4052480"/>
        <c:axId val="64083008"/>
      </c:barChart>
      <c:catAx>
        <c:axId val="4405248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4083008"/>
        <c:crosses val="autoZero"/>
        <c:auto val="1"/>
        <c:lblAlgn val="ctr"/>
        <c:lblOffset val="100"/>
        <c:noMultiLvlLbl val="0"/>
      </c:catAx>
      <c:valAx>
        <c:axId val="6408300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405248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35.549999999999997</c:v>
                </c:pt>
                <c:pt idx="1">
                  <c:v>62.28</c:v>
                </c:pt>
                <c:pt idx="2">
                  <c:v>2.17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4053504"/>
        <c:axId val="46521664"/>
      </c:barChart>
      <c:catAx>
        <c:axId val="44053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6521664"/>
        <c:crosses val="autoZero"/>
        <c:auto val="1"/>
        <c:lblAlgn val="ctr"/>
        <c:lblOffset val="100"/>
        <c:noMultiLvlLbl val="0"/>
      </c:catAx>
      <c:valAx>
        <c:axId val="46521664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405350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66.5</c:v>
                </c:pt>
                <c:pt idx="1">
                  <c:v>57.31</c:v>
                </c:pt>
                <c:pt idx="2">
                  <c:v>46.32</c:v>
                </c:pt>
                <c:pt idx="3">
                  <c:v>43.57</c:v>
                </c:pt>
                <c:pt idx="4">
                  <c:v>35.450000000000003</c:v>
                </c:pt>
                <c:pt idx="5">
                  <c:v>37.69</c:v>
                </c:pt>
                <c:pt idx="6">
                  <c:v>63.06</c:v>
                </c:pt>
                <c:pt idx="7">
                  <c:v>58.76</c:v>
                </c:pt>
                <c:pt idx="8">
                  <c:v>54.15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69.569999999999993</c:v>
                </c:pt>
                <c:pt idx="1">
                  <c:v>54.99</c:v>
                </c:pt>
                <c:pt idx="2">
                  <c:v>52.17</c:v>
                </c:pt>
                <c:pt idx="3">
                  <c:v>48.12</c:v>
                </c:pt>
                <c:pt idx="4">
                  <c:v>37.5</c:v>
                </c:pt>
                <c:pt idx="5">
                  <c:v>41.18</c:v>
                </c:pt>
                <c:pt idx="6">
                  <c:v>67.459999999999994</c:v>
                </c:pt>
                <c:pt idx="7">
                  <c:v>60.84</c:v>
                </c:pt>
                <c:pt idx="8">
                  <c:v>56.94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4054016"/>
        <c:axId val="64040320"/>
      </c:barChart>
      <c:catAx>
        <c:axId val="44054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4040320"/>
        <c:crosses val="autoZero"/>
        <c:auto val="1"/>
        <c:lblAlgn val="ctr"/>
        <c:lblOffset val="100"/>
        <c:noMultiLvlLbl val="0"/>
      </c:catAx>
      <c:valAx>
        <c:axId val="6404032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05401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39.46</c:v>
                </c:pt>
                <c:pt idx="1">
                  <c:v>31.76</c:v>
                </c:pt>
                <c:pt idx="2">
                  <c:v>7.43</c:v>
                </c:pt>
                <c:pt idx="3">
                  <c:v>7.43</c:v>
                </c:pt>
                <c:pt idx="4">
                  <c:v>4.05</c:v>
                </c:pt>
                <c:pt idx="5">
                  <c:v>5.41</c:v>
                </c:pt>
                <c:pt idx="6">
                  <c:v>31.08</c:v>
                </c:pt>
                <c:pt idx="7">
                  <c:v>33.51</c:v>
                </c:pt>
                <c:pt idx="8">
                  <c:v>23.24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66.81</c:v>
                </c:pt>
                <c:pt idx="1">
                  <c:v>48.18</c:v>
                </c:pt>
                <c:pt idx="2">
                  <c:v>44.03</c:v>
                </c:pt>
                <c:pt idx="3">
                  <c:v>37.79</c:v>
                </c:pt>
                <c:pt idx="4">
                  <c:v>27.14</c:v>
                </c:pt>
                <c:pt idx="5">
                  <c:v>31.69</c:v>
                </c:pt>
                <c:pt idx="6">
                  <c:v>62.86</c:v>
                </c:pt>
                <c:pt idx="7">
                  <c:v>56</c:v>
                </c:pt>
                <c:pt idx="8">
                  <c:v>52.31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Лист1!$D$2:$D$10</c:f>
              <c:numCache>
                <c:formatCode>General</c:formatCode>
                <c:ptCount val="9"/>
                <c:pt idx="0">
                  <c:v>81.95</c:v>
                </c:pt>
                <c:pt idx="1">
                  <c:v>71.28</c:v>
                </c:pt>
                <c:pt idx="2">
                  <c:v>76.67</c:v>
                </c:pt>
                <c:pt idx="3">
                  <c:v>74.62</c:v>
                </c:pt>
                <c:pt idx="4">
                  <c:v>62.56</c:v>
                </c:pt>
                <c:pt idx="5">
                  <c:v>65.13</c:v>
                </c:pt>
                <c:pt idx="6">
                  <c:v>84.92</c:v>
                </c:pt>
                <c:pt idx="7">
                  <c:v>74.87</c:v>
                </c:pt>
                <c:pt idx="8">
                  <c:v>71.69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Лист1!$E$2:$E$10</c:f>
              <c:numCache>
                <c:formatCode>General</c:formatCode>
                <c:ptCount val="9"/>
                <c:pt idx="0">
                  <c:v>92.63</c:v>
                </c:pt>
                <c:pt idx="1">
                  <c:v>85.53</c:v>
                </c:pt>
                <c:pt idx="2">
                  <c:v>96.05</c:v>
                </c:pt>
                <c:pt idx="3">
                  <c:v>96.05</c:v>
                </c:pt>
                <c:pt idx="4">
                  <c:v>78.95</c:v>
                </c:pt>
                <c:pt idx="5">
                  <c:v>84.21</c:v>
                </c:pt>
                <c:pt idx="6">
                  <c:v>95.26</c:v>
                </c:pt>
                <c:pt idx="7">
                  <c:v>91.05</c:v>
                </c:pt>
                <c:pt idx="8">
                  <c:v>93.68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6286976"/>
        <c:axId val="64042048"/>
      </c:lineChart>
      <c:catAx>
        <c:axId val="116286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4042048"/>
        <c:crosses val="autoZero"/>
        <c:auto val="1"/>
        <c:lblAlgn val="ctr"/>
        <c:lblOffset val="100"/>
        <c:noMultiLvlLbl val="0"/>
      </c:catAx>
      <c:valAx>
        <c:axId val="6404204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1628697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7989873515199352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1. Аудирование с пониманием запрашиваемой информации в прослушанном тексте.</c:v>
                </c:pt>
                <c:pt idx="1">
                  <c:v>2. Осмысленное чтение текста вслух.</c:v>
                </c:pt>
                <c:pt idx="2">
                  <c:v>3K1. Говорение: монологическое высказывание на основе плана и визуальной информации.</c:v>
                </c:pt>
                <c:pt idx="3">
                  <c:v>3K2. Говорение: монологическое высказывание на основе плана и визуальной информации.</c:v>
                </c:pt>
                <c:pt idx="4">
                  <c:v>3K3. Говорение: монологическое высказывание на основе плана и визуальной информации.</c:v>
                </c:pt>
                <c:pt idx="5">
                  <c:v>3K4. Говорение: монологическое высказывание на основе плана и визуальной информации.</c:v>
                </c:pt>
                <c:pt idx="6">
                  <c:v>4. Чтение с пониманием основного содержания прочитанного текста.</c:v>
                </c:pt>
                <c:pt idx="7">
                  <c:v>5. Навыки оперирования языковыми средствами в коммуникативнозначимом контексте: грамматические формы.</c:v>
                </c:pt>
                <c:pt idx="8">
                  <c:v>6. Навыки оперирования языковыми средствами в коммуникативнозначимом контексте: лексические единицы.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66.5</c:v>
                </c:pt>
                <c:pt idx="1">
                  <c:v>57.31</c:v>
                </c:pt>
                <c:pt idx="2">
                  <c:v>46.32</c:v>
                </c:pt>
                <c:pt idx="3">
                  <c:v>43.57</c:v>
                </c:pt>
                <c:pt idx="4">
                  <c:v>35.450000000000003</c:v>
                </c:pt>
                <c:pt idx="5">
                  <c:v>37.69</c:v>
                </c:pt>
                <c:pt idx="6">
                  <c:v>63.06</c:v>
                </c:pt>
                <c:pt idx="7">
                  <c:v>58.76</c:v>
                </c:pt>
                <c:pt idx="8">
                  <c:v>54.15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1. Аудирование с пониманием запрашиваемой информации в прослушанном тексте.</c:v>
                </c:pt>
                <c:pt idx="1">
                  <c:v>2. Осмысленное чтение текста вслух.</c:v>
                </c:pt>
                <c:pt idx="2">
                  <c:v>3K1. Говорение: монологическое высказывание на основе плана и визуальной информации.</c:v>
                </c:pt>
                <c:pt idx="3">
                  <c:v>3K2. Говорение: монологическое высказывание на основе плана и визуальной информации.</c:v>
                </c:pt>
                <c:pt idx="4">
                  <c:v>3K3. Говорение: монологическое высказывание на основе плана и визуальной информации.</c:v>
                </c:pt>
                <c:pt idx="5">
                  <c:v>3K4. Говорение: монологическое высказывание на основе плана и визуальной информации.</c:v>
                </c:pt>
                <c:pt idx="6">
                  <c:v>4. Чтение с пониманием основного содержания прочитанного текста.</c:v>
                </c:pt>
                <c:pt idx="7">
                  <c:v>5. Навыки оперирования языковыми средствами в коммуникативнозначимом контексте: грамматические формы.</c:v>
                </c:pt>
                <c:pt idx="8">
                  <c:v>6. Навыки оперирования языковыми средствами в коммуникативнозначимом контексте: лексические единицы.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69.569999999999993</c:v>
                </c:pt>
                <c:pt idx="1">
                  <c:v>54.99</c:v>
                </c:pt>
                <c:pt idx="2">
                  <c:v>52.17</c:v>
                </c:pt>
                <c:pt idx="3">
                  <c:v>48.12</c:v>
                </c:pt>
                <c:pt idx="4">
                  <c:v>37.5</c:v>
                </c:pt>
                <c:pt idx="5">
                  <c:v>41.18</c:v>
                </c:pt>
                <c:pt idx="6">
                  <c:v>67.459999999999994</c:v>
                </c:pt>
                <c:pt idx="7">
                  <c:v>60.84</c:v>
                </c:pt>
                <c:pt idx="8">
                  <c:v>56.94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16289024"/>
        <c:axId val="64040896"/>
      </c:barChart>
      <c:catAx>
        <c:axId val="1162890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900"/>
            </a:pPr>
            <a:endParaRPr lang="ru-RU"/>
          </a:p>
        </c:txPr>
        <c:crossAx val="64040896"/>
        <c:crosses val="autoZero"/>
        <c:auto val="1"/>
        <c:lblAlgn val="ctr"/>
        <c:lblOffset val="100"/>
        <c:noMultiLvlLbl val="0"/>
      </c:catAx>
      <c:valAx>
        <c:axId val="64040896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11628902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0434529026"/>
          <c:y val="0.89948520493618001"/>
          <c:w val="0.27088600904053661"/>
          <c:h val="7.1757592800899883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2021-11-30T13:36:00Z</dcterms:modified>
</cp:coreProperties>
</file>