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E45AD3">
        <w:rPr>
          <w:rFonts w:ascii="Times New Roman" w:hAnsi="Times New Roman"/>
          <w:b/>
          <w:color w:val="0070C0"/>
          <w:sz w:val="32"/>
          <w:szCs w:val="32"/>
        </w:rPr>
        <w:t>физике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9669F6" w:rsidRPr="00FD6277">
        <w:rPr>
          <w:rFonts w:ascii="Times New Roman" w:hAnsi="Times New Roman"/>
          <w:b/>
          <w:color w:val="0070C0"/>
          <w:sz w:val="32"/>
          <w:szCs w:val="32"/>
        </w:rPr>
        <w:t>7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FD6277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FD6277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9669F6" w:rsidRPr="00FD6277">
        <w:rPr>
          <w:rFonts w:ascii="Times New Roman" w:hAnsi="Times New Roman" w:cs="Times New Roman"/>
          <w:sz w:val="28"/>
          <w:szCs w:val="24"/>
        </w:rPr>
        <w:t>18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669F6" w:rsidRPr="00312A2B" w:rsidTr="009669F6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9F6" w:rsidRPr="00312A2B" w:rsidRDefault="009669F6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9F6" w:rsidRPr="009669F6" w:rsidRDefault="009669F6" w:rsidP="009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1254249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9F6" w:rsidRPr="009669F6" w:rsidRDefault="009669F6" w:rsidP="009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9F6" w:rsidRPr="009669F6" w:rsidRDefault="009669F6" w:rsidP="009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9F6" w:rsidRPr="009669F6" w:rsidRDefault="009669F6" w:rsidP="009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9F6" w:rsidRPr="009669F6" w:rsidRDefault="009669F6" w:rsidP="009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9,61</w:t>
            </w:r>
          </w:p>
        </w:tc>
      </w:tr>
      <w:tr w:rsidR="009669F6" w:rsidRPr="00312A2B" w:rsidTr="009669F6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9F6" w:rsidRPr="00312A2B" w:rsidRDefault="009669F6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9F6" w:rsidRPr="009669F6" w:rsidRDefault="009669F6" w:rsidP="009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9F6" w:rsidRPr="009669F6" w:rsidRDefault="009669F6" w:rsidP="009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9F6" w:rsidRPr="009669F6" w:rsidRDefault="009669F6" w:rsidP="009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9F6" w:rsidRPr="009669F6" w:rsidRDefault="009669F6" w:rsidP="009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9F6" w:rsidRPr="009669F6" w:rsidRDefault="009669F6" w:rsidP="009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12,38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043D" w:rsidRDefault="00DC043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C043D" w:rsidRPr="009669F6" w:rsidRDefault="00DC043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59365" cy="8198069"/>
            <wp:effectExtent l="0" t="0" r="381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484D96"/>
    <w:rsid w:val="00663CC5"/>
    <w:rsid w:val="006B51EB"/>
    <w:rsid w:val="00701293"/>
    <w:rsid w:val="0073149B"/>
    <w:rsid w:val="008A5134"/>
    <w:rsid w:val="008E5635"/>
    <w:rsid w:val="009669F6"/>
    <w:rsid w:val="009A3EA2"/>
    <w:rsid w:val="009E3E45"/>
    <w:rsid w:val="00CB053B"/>
    <w:rsid w:val="00D34DD8"/>
    <w:rsid w:val="00DC043D"/>
    <w:rsid w:val="00DD4C96"/>
    <w:rsid w:val="00DE3F2D"/>
    <w:rsid w:val="00E14276"/>
    <w:rsid w:val="00E45AD3"/>
    <w:rsid w:val="00E65788"/>
    <w:rsid w:val="00FD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12.57</c:v>
                </c:pt>
                <c:pt idx="1">
                  <c:v>47.36</c:v>
                </c:pt>
                <c:pt idx="2">
                  <c:v>30.46</c:v>
                </c:pt>
                <c:pt idx="3">
                  <c:v>9.61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9.11</c:v>
                </c:pt>
                <c:pt idx="1">
                  <c:v>45.2</c:v>
                </c:pt>
                <c:pt idx="2">
                  <c:v>33.31</c:v>
                </c:pt>
                <c:pt idx="3">
                  <c:v>12.38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48311296"/>
        <c:axId val="67189504"/>
      </c:barChart>
      <c:catAx>
        <c:axId val="48311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7189504"/>
        <c:crosses val="autoZero"/>
        <c:auto val="1"/>
        <c:lblAlgn val="ctr"/>
        <c:lblOffset val="100"/>
        <c:noMultiLvlLbl val="0"/>
      </c:catAx>
      <c:valAx>
        <c:axId val="671895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8311296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Лист1!$A$2:$A$20</c:f>
              <c:numCache>
                <c:formatCode>General</c:formatCode>
                <c:ptCount val="19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</c:numCache>
            </c:numRef>
          </c:cat>
          <c:val>
            <c:numRef>
              <c:f>Лист1!$B$2:$B$20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3.5</c:v>
                </c:pt>
                <c:pt idx="4">
                  <c:v>3.1</c:v>
                </c:pt>
                <c:pt idx="5">
                  <c:v>21.1</c:v>
                </c:pt>
                <c:pt idx="6">
                  <c:v>15.3</c:v>
                </c:pt>
                <c:pt idx="7">
                  <c:v>11.1</c:v>
                </c:pt>
                <c:pt idx="8">
                  <c:v>14.4</c:v>
                </c:pt>
                <c:pt idx="9">
                  <c:v>9.8000000000000007</c:v>
                </c:pt>
                <c:pt idx="10">
                  <c:v>6.3</c:v>
                </c:pt>
                <c:pt idx="11">
                  <c:v>3.8</c:v>
                </c:pt>
                <c:pt idx="12">
                  <c:v>2.5</c:v>
                </c:pt>
                <c:pt idx="13">
                  <c:v>1.4</c:v>
                </c:pt>
                <c:pt idx="14">
                  <c:v>0.8</c:v>
                </c:pt>
                <c:pt idx="15">
                  <c:v>0.5</c:v>
                </c:pt>
                <c:pt idx="16">
                  <c:v>0.2</c:v>
                </c:pt>
                <c:pt idx="17">
                  <c:v>0.1</c:v>
                </c:pt>
                <c:pt idx="18">
                  <c:v>0.1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Лист1!$A$2:$A$20</c:f>
              <c:numCache>
                <c:formatCode>General</c:formatCode>
                <c:ptCount val="19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</c:numCache>
            </c:numRef>
          </c:cat>
          <c:val>
            <c:numRef>
              <c:f>Лист1!$C$2:$C$20</c:f>
              <c:numCache>
                <c:formatCode>General</c:formatCode>
                <c:ptCount val="19"/>
                <c:pt idx="0">
                  <c:v>0.7</c:v>
                </c:pt>
                <c:pt idx="1">
                  <c:v>1.7</c:v>
                </c:pt>
                <c:pt idx="2">
                  <c:v>2.6</c:v>
                </c:pt>
                <c:pt idx="3">
                  <c:v>2.2999999999999998</c:v>
                </c:pt>
                <c:pt idx="4">
                  <c:v>1.9</c:v>
                </c:pt>
                <c:pt idx="5">
                  <c:v>19.899999999999999</c:v>
                </c:pt>
                <c:pt idx="6">
                  <c:v>16.3</c:v>
                </c:pt>
                <c:pt idx="7">
                  <c:v>9.9</c:v>
                </c:pt>
                <c:pt idx="8">
                  <c:v>15.6</c:v>
                </c:pt>
                <c:pt idx="9">
                  <c:v>10.9</c:v>
                </c:pt>
                <c:pt idx="10">
                  <c:v>6.7</c:v>
                </c:pt>
                <c:pt idx="11">
                  <c:v>4.4000000000000004</c:v>
                </c:pt>
                <c:pt idx="12">
                  <c:v>3.2</c:v>
                </c:pt>
                <c:pt idx="13">
                  <c:v>1.4</c:v>
                </c:pt>
                <c:pt idx="14">
                  <c:v>1.1000000000000001</c:v>
                </c:pt>
                <c:pt idx="15">
                  <c:v>0.8</c:v>
                </c:pt>
                <c:pt idx="16">
                  <c:v>0.3</c:v>
                </c:pt>
                <c:pt idx="17">
                  <c:v>0.3</c:v>
                </c:pt>
                <c:pt idx="18">
                  <c:v>0.1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5818880"/>
        <c:axId val="43075840"/>
      </c:barChart>
      <c:catAx>
        <c:axId val="4581888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43075840"/>
        <c:crosses val="autoZero"/>
        <c:auto val="1"/>
        <c:lblAlgn val="ctr"/>
        <c:lblOffset val="100"/>
        <c:noMultiLvlLbl val="0"/>
      </c:catAx>
      <c:valAx>
        <c:axId val="43075840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5818880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32.5</c:v>
                </c:pt>
                <c:pt idx="1">
                  <c:v>56.39</c:v>
                </c:pt>
                <c:pt idx="2">
                  <c:v>11.1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5819392"/>
        <c:axId val="43074688"/>
      </c:barChart>
      <c:catAx>
        <c:axId val="458193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3074688"/>
        <c:crosses val="autoZero"/>
        <c:auto val="1"/>
        <c:lblAlgn val="ctr"/>
        <c:lblOffset val="100"/>
        <c:noMultiLvlLbl val="0"/>
      </c:catAx>
      <c:valAx>
        <c:axId val="43074688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581939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Лист1!$A$2:$A$12</c:f>
              <c:numCache>
                <c:formatCode>General</c:formatCode>
                <c:ptCount val="1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</c:numCache>
            </c:num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74.55</c:v>
                </c:pt>
                <c:pt idx="1">
                  <c:v>43.59</c:v>
                </c:pt>
                <c:pt idx="2">
                  <c:v>74.06</c:v>
                </c:pt>
                <c:pt idx="3">
                  <c:v>80.89</c:v>
                </c:pt>
                <c:pt idx="4">
                  <c:v>69.06</c:v>
                </c:pt>
                <c:pt idx="5">
                  <c:v>49.49</c:v>
                </c:pt>
                <c:pt idx="6">
                  <c:v>34.93</c:v>
                </c:pt>
                <c:pt idx="7">
                  <c:v>43.6</c:v>
                </c:pt>
                <c:pt idx="8">
                  <c:v>36.39</c:v>
                </c:pt>
                <c:pt idx="9">
                  <c:v>14.84</c:v>
                </c:pt>
                <c:pt idx="10">
                  <c:v>7.33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Лист1!$A$2:$A$12</c:f>
              <c:numCache>
                <c:formatCode>General</c:formatCode>
                <c:ptCount val="1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</c:numCache>
            </c:num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74.849999999999994</c:v>
                </c:pt>
                <c:pt idx="1">
                  <c:v>43.53</c:v>
                </c:pt>
                <c:pt idx="2">
                  <c:v>76.239999999999995</c:v>
                </c:pt>
                <c:pt idx="3">
                  <c:v>82.61</c:v>
                </c:pt>
                <c:pt idx="4">
                  <c:v>72.39</c:v>
                </c:pt>
                <c:pt idx="5">
                  <c:v>52.03</c:v>
                </c:pt>
                <c:pt idx="6">
                  <c:v>35.78</c:v>
                </c:pt>
                <c:pt idx="7">
                  <c:v>46.69</c:v>
                </c:pt>
                <c:pt idx="8">
                  <c:v>42.81</c:v>
                </c:pt>
                <c:pt idx="9">
                  <c:v>15.63</c:v>
                </c:pt>
                <c:pt idx="10">
                  <c:v>8.3800000000000008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5819904"/>
        <c:axId val="43079296"/>
      </c:barChart>
      <c:catAx>
        <c:axId val="458199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3079296"/>
        <c:crosses val="autoZero"/>
        <c:auto val="1"/>
        <c:lblAlgn val="ctr"/>
        <c:lblOffset val="100"/>
        <c:noMultiLvlLbl val="0"/>
      </c:catAx>
      <c:valAx>
        <c:axId val="4307929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5819904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numRef>
              <c:f>Лист1!$A$2:$A$12</c:f>
              <c:numCache>
                <c:formatCode>General</c:formatCode>
                <c:ptCount val="1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</c:numCache>
            </c:num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31.65</c:v>
                </c:pt>
                <c:pt idx="1">
                  <c:v>10.78</c:v>
                </c:pt>
                <c:pt idx="2">
                  <c:v>34.96</c:v>
                </c:pt>
                <c:pt idx="3">
                  <c:v>44.35</c:v>
                </c:pt>
                <c:pt idx="4">
                  <c:v>28.7</c:v>
                </c:pt>
                <c:pt idx="5">
                  <c:v>11.48</c:v>
                </c:pt>
                <c:pt idx="6">
                  <c:v>12.78</c:v>
                </c:pt>
                <c:pt idx="7">
                  <c:v>8.17</c:v>
                </c:pt>
                <c:pt idx="8">
                  <c:v>8.43</c:v>
                </c:pt>
                <c:pt idx="9">
                  <c:v>1.68</c:v>
                </c:pt>
                <c:pt idx="10">
                  <c:v>0.99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numRef>
              <c:f>Лист1!$A$2:$A$12</c:f>
              <c:numCache>
                <c:formatCode>General</c:formatCode>
                <c:ptCount val="1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</c:numCache>
            </c:num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72.97</c:v>
                </c:pt>
                <c:pt idx="1">
                  <c:v>34.119999999999997</c:v>
                </c:pt>
                <c:pt idx="2">
                  <c:v>71.180000000000007</c:v>
                </c:pt>
                <c:pt idx="3">
                  <c:v>81.63</c:v>
                </c:pt>
                <c:pt idx="4">
                  <c:v>66.97</c:v>
                </c:pt>
                <c:pt idx="5">
                  <c:v>42.08</c:v>
                </c:pt>
                <c:pt idx="6">
                  <c:v>25.32</c:v>
                </c:pt>
                <c:pt idx="7">
                  <c:v>36.89</c:v>
                </c:pt>
                <c:pt idx="8">
                  <c:v>30.5</c:v>
                </c:pt>
                <c:pt idx="9">
                  <c:v>5.98</c:v>
                </c:pt>
                <c:pt idx="10">
                  <c:v>2.99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numRef>
              <c:f>Лист1!$A$2:$A$12</c:f>
              <c:numCache>
                <c:formatCode>General</c:formatCode>
                <c:ptCount val="1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</c:numCache>
            </c:numRef>
          </c:cat>
          <c:val>
            <c:numRef>
              <c:f>Лист1!$D$2:$D$12</c:f>
              <c:numCache>
                <c:formatCode>General</c:formatCode>
                <c:ptCount val="11"/>
                <c:pt idx="0">
                  <c:v>84.25</c:v>
                </c:pt>
                <c:pt idx="1">
                  <c:v>53.95</c:v>
                </c:pt>
                <c:pt idx="2">
                  <c:v>87.3</c:v>
                </c:pt>
                <c:pt idx="3">
                  <c:v>90.06</c:v>
                </c:pt>
                <c:pt idx="4">
                  <c:v>83.73</c:v>
                </c:pt>
                <c:pt idx="5">
                  <c:v>65.13</c:v>
                </c:pt>
                <c:pt idx="6">
                  <c:v>43.7</c:v>
                </c:pt>
                <c:pt idx="7">
                  <c:v>59.66</c:v>
                </c:pt>
                <c:pt idx="8">
                  <c:v>55.88</c:v>
                </c:pt>
                <c:pt idx="9">
                  <c:v>20.059999999999999</c:v>
                </c:pt>
                <c:pt idx="10">
                  <c:v>9.5500000000000007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numRef>
              <c:f>Лист1!$A$2:$A$12</c:f>
              <c:numCache>
                <c:formatCode>General</c:formatCode>
                <c:ptCount val="1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</c:numCache>
            </c:numRef>
          </c:cat>
          <c:val>
            <c:numRef>
              <c:f>Лист1!$E$2:$E$12</c:f>
              <c:numCache>
                <c:formatCode>General</c:formatCode>
                <c:ptCount val="11"/>
                <c:pt idx="0">
                  <c:v>88.22</c:v>
                </c:pt>
                <c:pt idx="1">
                  <c:v>73.94</c:v>
                </c:pt>
                <c:pt idx="2">
                  <c:v>95.39</c:v>
                </c:pt>
                <c:pt idx="3">
                  <c:v>94.37</c:v>
                </c:pt>
                <c:pt idx="4">
                  <c:v>93.85</c:v>
                </c:pt>
                <c:pt idx="5">
                  <c:v>82.97</c:v>
                </c:pt>
                <c:pt idx="6">
                  <c:v>69.59</c:v>
                </c:pt>
                <c:pt idx="7">
                  <c:v>75.930000000000007</c:v>
                </c:pt>
                <c:pt idx="8">
                  <c:v>77.91</c:v>
                </c:pt>
                <c:pt idx="9">
                  <c:v>49.17</c:v>
                </c:pt>
                <c:pt idx="10">
                  <c:v>30.39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1667968"/>
        <c:axId val="43081024"/>
      </c:lineChart>
      <c:catAx>
        <c:axId val="51667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3081024"/>
        <c:crosses val="autoZero"/>
        <c:auto val="1"/>
        <c:lblAlgn val="ctr"/>
        <c:lblOffset val="100"/>
        <c:noMultiLvlLbl val="0"/>
      </c:catAx>
      <c:valAx>
        <c:axId val="4308102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5166796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043819274994038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Лист1!$A$2:$A$12</c:f>
              <c:strCache>
                <c:ptCount val="11"/>
                <c:pt idx="0">
                  <c:v>1. Проводить прямые измерения физических величин: время, расстояние, масса тела, объем, сила, температура, атмосферное давление, и использовать простейшие методы оценки погрешностей измерений</c:v>
                </c:pt>
                <c:pt idx="1">
                  <c:v>2. 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инерция, взаимодействие тел, передача давления твердыми телами, жидкостями и газами, а</c:v>
                </c:pt>
                <c:pt idx="2">
                  <c:v>3. Решать задачи, используя физические законы (закон Гука,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сила трения скольжения, коэ</c:v>
                </c:pt>
                <c:pt idx="3">
                  <c:v>4. Решать задачи, используя формулы, связывающие физические величины (путь, скорость тела):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</c:v>
                </c:pt>
                <c:pt idx="4">
                  <c:v>5. Интерпретировать результаты наблюдений и опытов</c:v>
                </c:pt>
                <c:pt idx="5">
                  <c:v>6. 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</c:v>
                </c:pt>
                <c:pt idx="6">
                  <c:v>7. Использовать при выполнении учебных задач справочные материалы;
делать выводы по результатам исследования
</c:v>
                </c:pt>
                <c:pt idx="7">
                  <c:v>8. Решать задачи, используя физические законы (закон Паскаля, закон Архимеда) и формулы, связывающие физические величины (масса тела, плотность вещества, сила, давление): на основе анализа условия задачи выделять физические величины, законы и формулы, нео</c:v>
                </c:pt>
                <c:pt idx="8">
                  <c:v>9. Решать задачи, используя формулы, связывающие физические величины (путь, скорость, масса тела, плотность вещества, сила, давление): на основе анализа условия задачи, выделять физические величины и формулы, необходимые для ее решения, проводить расчеты</c:v>
                </c:pt>
                <c:pt idx="9">
                  <c:v>10. Решать задачи, используя физические 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</c:v>
                </c:pt>
                <c:pt idx="10">
                  <c:v>11. Анализировать отдельные этапы проведения исследований и интерпретировать результаты наблюдений и опытов;
решать задачи, используя физические законы (закон сохранения энергии, закон Гука, закон Паскаля, закон Архимеда) и формулы, связывающие физические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74.55</c:v>
                </c:pt>
                <c:pt idx="1">
                  <c:v>43.59</c:v>
                </c:pt>
                <c:pt idx="2">
                  <c:v>74.06</c:v>
                </c:pt>
                <c:pt idx="3">
                  <c:v>80.89</c:v>
                </c:pt>
                <c:pt idx="4">
                  <c:v>69.06</c:v>
                </c:pt>
                <c:pt idx="5">
                  <c:v>49.49</c:v>
                </c:pt>
                <c:pt idx="6">
                  <c:v>34.93</c:v>
                </c:pt>
                <c:pt idx="7">
                  <c:v>43.6</c:v>
                </c:pt>
                <c:pt idx="8">
                  <c:v>36.39</c:v>
                </c:pt>
                <c:pt idx="9">
                  <c:v>14.84</c:v>
                </c:pt>
                <c:pt idx="10">
                  <c:v>7.33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Лист1!$A$2:$A$12</c:f>
              <c:strCache>
                <c:ptCount val="11"/>
                <c:pt idx="0">
                  <c:v>1. Проводить прямые измерения физических величин: время, расстояние, масса тела, объем, сила, температура, атмосферное давление, и использовать простейшие методы оценки погрешностей измерений</c:v>
                </c:pt>
                <c:pt idx="1">
                  <c:v>2. 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инерция, взаимодействие тел, передача давления твердыми телами, жидкостями и газами, а</c:v>
                </c:pt>
                <c:pt idx="2">
                  <c:v>3. Решать задачи, используя физические законы (закон Гука,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сила трения скольжения, коэ</c:v>
                </c:pt>
                <c:pt idx="3">
                  <c:v>4. Решать задачи, используя формулы, связывающие физические величины (путь, скорость тела):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</c:v>
                </c:pt>
                <c:pt idx="4">
                  <c:v>5. Интерпретировать результаты наблюдений и опытов</c:v>
                </c:pt>
                <c:pt idx="5">
                  <c:v>6. 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</c:v>
                </c:pt>
                <c:pt idx="6">
                  <c:v>7. Использовать при выполнении учебных задач справочные материалы;
делать выводы по результатам исследования
</c:v>
                </c:pt>
                <c:pt idx="7">
                  <c:v>8. Решать задачи, используя физические законы (закон Паскаля, закон Архимеда) и формулы, связывающие физические величины (масса тела, плотность вещества, сила, давление): на основе анализа условия задачи выделять физические величины, законы и формулы, нео</c:v>
                </c:pt>
                <c:pt idx="8">
                  <c:v>9. Решать задачи, используя формулы, связывающие физические величины (путь, скорость, масса тела, плотность вещества, сила, давление): на основе анализа условия задачи, выделять физические величины и формулы, необходимые для ее решения, проводить расчеты</c:v>
                </c:pt>
                <c:pt idx="9">
                  <c:v>10. Решать задачи, используя физические 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</c:v>
                </c:pt>
                <c:pt idx="10">
                  <c:v>11. Анализировать отдельные этапы проведения исследований и интерпретировать результаты наблюдений и опытов;
решать задачи, используя физические законы (закон сохранения энергии, закон Гука, закон Паскаля, закон Архимеда) и формулы, связывающие физические</c:v>
                </c:pt>
              </c:strCache>
            </c:str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74.849999999999994</c:v>
                </c:pt>
                <c:pt idx="1">
                  <c:v>43.53</c:v>
                </c:pt>
                <c:pt idx="2">
                  <c:v>76.239999999999995</c:v>
                </c:pt>
                <c:pt idx="3">
                  <c:v>82.61</c:v>
                </c:pt>
                <c:pt idx="4">
                  <c:v>72.39</c:v>
                </c:pt>
                <c:pt idx="5">
                  <c:v>52.03</c:v>
                </c:pt>
                <c:pt idx="6">
                  <c:v>35.78</c:v>
                </c:pt>
                <c:pt idx="7">
                  <c:v>46.69</c:v>
                </c:pt>
                <c:pt idx="8">
                  <c:v>42.81</c:v>
                </c:pt>
                <c:pt idx="9">
                  <c:v>15.63</c:v>
                </c:pt>
                <c:pt idx="10">
                  <c:v>8.3800000000000008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4069248"/>
        <c:axId val="43079872"/>
      </c:barChart>
      <c:catAx>
        <c:axId val="54069248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43079872"/>
        <c:crosses val="autoZero"/>
        <c:auto val="1"/>
        <c:lblAlgn val="ctr"/>
        <c:lblOffset val="100"/>
        <c:noMultiLvlLbl val="0"/>
      </c:catAx>
      <c:valAx>
        <c:axId val="43079872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406924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45568600600117"/>
          <c:y val="0.95680513793250666"/>
          <c:w val="0.27088600904053661"/>
          <c:h val="3.4559543391277543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4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10</cp:revision>
  <dcterms:created xsi:type="dcterms:W3CDTF">2021-10-28T12:49:00Z</dcterms:created>
  <dcterms:modified xsi:type="dcterms:W3CDTF">2021-11-30T13:40:00Z</dcterms:modified>
</cp:coreProperties>
</file>